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84" w:rsidRPr="00817D84" w:rsidRDefault="00817D84" w:rsidP="00817D84">
      <w:pPr>
        <w:overflowPunct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ГОСТ 22266-94</w:t>
      </w:r>
    </w:p>
    <w:p w:rsidR="00817D84" w:rsidRPr="00817D84" w:rsidRDefault="00817D84" w:rsidP="00817D84">
      <w:pPr>
        <w:pBdr>
          <w:bottom w:val="single" w:sz="6" w:space="1" w:color="auto"/>
        </w:pBd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bCs/>
          <w:spacing w:val="50"/>
          <w:sz w:val="24"/>
          <w:szCs w:val="20"/>
          <w:lang w:eastAsia="ru-RU"/>
        </w:rPr>
        <w:t>МЕЖГОСУДАРСТВЕННЫЙ СТАНДАРТ</w:t>
      </w:r>
    </w:p>
    <w:p w:rsidR="00817D84" w:rsidRPr="00817D84" w:rsidRDefault="00817D84" w:rsidP="00817D84">
      <w:pPr>
        <w:overflowPunct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ЦЕМЕНТЫ СУЛЬФАТОСТОЙКИЕ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ТЕХНИЧЕСКИЕ УСЛОВИЯ</w:t>
      </w:r>
    </w:p>
    <w:p w:rsidR="00817D84" w:rsidRPr="00817D84" w:rsidRDefault="00817D84" w:rsidP="00817D84">
      <w:pPr>
        <w:overflowPunct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МЕЖГОСУДАРСТВЕННАЯ НАУЧНО-ТЕХНИЧЕСКАЯ КОМИССИЯ </w:t>
      </w:r>
      <w:r w:rsidRPr="00817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  <w:t xml:space="preserve">ПО СТАНДАРТИЗАЦИИ И ТЕХНИЧЕСКОМУ НОРМИРОВАНИЮ </w:t>
      </w:r>
      <w:r w:rsidRPr="00817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  <w:t>В СТРОИТЕЛЬСТВЕ (МНТКС)</w:t>
      </w:r>
    </w:p>
    <w:p w:rsidR="00817D84" w:rsidRPr="00817D84" w:rsidRDefault="00817D84" w:rsidP="00817D84">
      <w:pPr>
        <w:overflowPunct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Москва</w:t>
      </w:r>
    </w:p>
    <w:p w:rsidR="00817D84" w:rsidRPr="00817D84" w:rsidRDefault="00817D84" w:rsidP="00817D84">
      <w:pPr>
        <w:overflowPunct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Предисловие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 </w:t>
      </w:r>
      <w:proofErr w:type="gramStart"/>
      <w:r w:rsidRPr="00817D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РАЗРАБОТАН</w:t>
      </w:r>
      <w:proofErr w:type="gramEnd"/>
      <w:r w:rsidRPr="00817D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Государственным институтом цементной промышленности (</w:t>
      </w:r>
      <w:proofErr w:type="spellStart"/>
      <w:r w:rsidRPr="00817D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НИИцемент</w:t>
      </w:r>
      <w:proofErr w:type="spellEnd"/>
      <w:r w:rsidRPr="00817D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 Российской Федерации</w:t>
      </w:r>
    </w:p>
    <w:p w:rsidR="00817D84" w:rsidRPr="00817D84" w:rsidRDefault="00817D84" w:rsidP="00817D84">
      <w:pPr>
        <w:overflowPunct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17D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ВНЕСЕН</w:t>
      </w:r>
      <w:proofErr w:type="gramEnd"/>
      <w:r w:rsidRPr="00817D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Минстроем России</w:t>
      </w:r>
    </w:p>
    <w:p w:rsidR="00817D84" w:rsidRPr="00817D84" w:rsidRDefault="00817D84" w:rsidP="00817D84">
      <w:pPr>
        <w:overflowPunct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 ПРИНЯТ Межгосударственной научно-технической комиссией по стандартизации и техническому нормированию в строительстве (МНТКС) 17 ноября 1994 г</w:t>
      </w:r>
      <w:r w:rsidRPr="00817D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ym w:font="Symbol" w:char="F02E"/>
      </w:r>
    </w:p>
    <w:p w:rsidR="00817D84" w:rsidRPr="00817D84" w:rsidRDefault="00817D84" w:rsidP="00817D84">
      <w:pPr>
        <w:overflowPunct w:val="0"/>
        <w:adjustRightInd w:val="0"/>
        <w:spacing w:before="120" w:after="120" w:line="240" w:lineRule="auto"/>
        <w:ind w:firstLine="3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 принятие проголосовали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091"/>
        <w:gridCol w:w="5888"/>
      </w:tblGrid>
      <w:tr w:rsidR="00817D84" w:rsidRPr="00817D84">
        <w:trPr>
          <w:tblHeader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государства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817D84" w:rsidRPr="00817D8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Армения</w:t>
            </w:r>
          </w:p>
        </w:tc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Госупрархитектуры</w:t>
            </w:r>
            <w:proofErr w:type="spellEnd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Армения</w:t>
            </w:r>
          </w:p>
        </w:tc>
      </w:tr>
      <w:tr w:rsidR="00817D84" w:rsidRPr="00817D8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</w:t>
            </w:r>
          </w:p>
        </w:tc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Госстрой Республики Беларусь</w:t>
            </w:r>
          </w:p>
        </w:tc>
      </w:tr>
      <w:tr w:rsidR="00817D84" w:rsidRPr="00817D8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Минстрой Республики Казахстан</w:t>
            </w:r>
          </w:p>
        </w:tc>
      </w:tr>
      <w:tr w:rsidR="00817D84" w:rsidRPr="00817D8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Республика</w:t>
            </w:r>
          </w:p>
        </w:tc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Госстрой Кыргызской республики</w:t>
            </w:r>
          </w:p>
        </w:tc>
      </w:tr>
      <w:tr w:rsidR="00817D84" w:rsidRPr="00817D8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Минстрой России</w:t>
            </w:r>
          </w:p>
        </w:tc>
      </w:tr>
      <w:tr w:rsidR="00817D84" w:rsidRPr="00817D8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Таджикистан</w:t>
            </w:r>
          </w:p>
        </w:tc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Госстрой Республики Таджикистан</w:t>
            </w:r>
          </w:p>
        </w:tc>
      </w:tr>
      <w:tr w:rsidR="00817D84" w:rsidRPr="00817D8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</w:tc>
        <w:tc>
          <w:tcPr>
            <w:tcW w:w="2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Госкомархитектстрой</w:t>
            </w:r>
            <w:proofErr w:type="spellEnd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Узбекистан</w:t>
            </w:r>
          </w:p>
        </w:tc>
      </w:tr>
    </w:tbl>
    <w:p w:rsidR="00817D84" w:rsidRPr="00817D84" w:rsidRDefault="00817D84" w:rsidP="00817D84">
      <w:pPr>
        <w:overflowPunct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ВВЕДЕН В ДЕЙСТВИЕ с 1 января 1996 г. в качестве государственного стандарта Российской Федерации Постановлением Минстроя России от 3 мая 1995 г. № 18-40</w:t>
      </w:r>
    </w:p>
    <w:p w:rsidR="00817D84" w:rsidRPr="00817D84" w:rsidRDefault="00817D84" w:rsidP="00817D84">
      <w:pPr>
        <w:overflowPunct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 ВЗАМЕН ГОСТ 22266-76</w:t>
      </w:r>
    </w:p>
    <w:p w:rsidR="00A454D2" w:rsidRPr="00E534A7" w:rsidRDefault="00A454D2" w:rsidP="00817D84">
      <w:pPr>
        <w:pBdr>
          <w:bottom w:val="single" w:sz="6" w:space="1" w:color="auto"/>
        </w:pBdr>
        <w:overflowPunct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454D2" w:rsidRPr="00E534A7" w:rsidRDefault="00A454D2" w:rsidP="00817D84">
      <w:pPr>
        <w:pBdr>
          <w:bottom w:val="single" w:sz="6" w:space="1" w:color="auto"/>
        </w:pBdr>
        <w:overflowPunct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454D2" w:rsidRPr="00E534A7" w:rsidRDefault="00A454D2" w:rsidP="00817D84">
      <w:pPr>
        <w:pBdr>
          <w:bottom w:val="single" w:sz="6" w:space="1" w:color="auto"/>
        </w:pBdr>
        <w:overflowPunct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454D2" w:rsidRPr="00E534A7" w:rsidRDefault="00A454D2" w:rsidP="00817D84">
      <w:pPr>
        <w:pBdr>
          <w:bottom w:val="single" w:sz="6" w:space="1" w:color="auto"/>
        </w:pBdr>
        <w:overflowPunct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454D2" w:rsidRPr="00E534A7" w:rsidRDefault="00A454D2" w:rsidP="00817D84">
      <w:pPr>
        <w:pBdr>
          <w:bottom w:val="single" w:sz="6" w:space="1" w:color="auto"/>
        </w:pBdr>
        <w:overflowPunct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454D2" w:rsidRPr="00E534A7" w:rsidRDefault="00A454D2" w:rsidP="00817D84">
      <w:pPr>
        <w:pBdr>
          <w:bottom w:val="single" w:sz="6" w:space="1" w:color="auto"/>
        </w:pBdr>
        <w:overflowPunct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454D2" w:rsidRPr="00E534A7" w:rsidRDefault="00A454D2" w:rsidP="00817D84">
      <w:pPr>
        <w:pBdr>
          <w:bottom w:val="single" w:sz="6" w:space="1" w:color="auto"/>
        </w:pBdr>
        <w:overflowPunct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454D2" w:rsidRPr="00E534A7" w:rsidRDefault="00A454D2" w:rsidP="00817D84">
      <w:pPr>
        <w:pBdr>
          <w:bottom w:val="single" w:sz="6" w:space="1" w:color="auto"/>
        </w:pBdr>
        <w:overflowPunct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454D2" w:rsidRPr="00E534A7" w:rsidRDefault="00A454D2" w:rsidP="00817D84">
      <w:pPr>
        <w:pBdr>
          <w:bottom w:val="single" w:sz="6" w:space="1" w:color="auto"/>
        </w:pBdr>
        <w:overflowPunct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454D2" w:rsidRPr="00E534A7" w:rsidRDefault="00A454D2" w:rsidP="00817D84">
      <w:pPr>
        <w:pBdr>
          <w:bottom w:val="single" w:sz="6" w:space="1" w:color="auto"/>
        </w:pBdr>
        <w:overflowPunct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454D2" w:rsidRPr="00E534A7" w:rsidRDefault="00A454D2" w:rsidP="00817D84">
      <w:pPr>
        <w:pBdr>
          <w:bottom w:val="single" w:sz="6" w:space="1" w:color="auto"/>
        </w:pBdr>
        <w:overflowPunct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454D2" w:rsidRPr="00E534A7" w:rsidRDefault="00A454D2" w:rsidP="00817D84">
      <w:pPr>
        <w:pBdr>
          <w:bottom w:val="single" w:sz="6" w:space="1" w:color="auto"/>
        </w:pBdr>
        <w:overflowPunct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454D2" w:rsidRPr="00E534A7" w:rsidRDefault="00A454D2" w:rsidP="00817D84">
      <w:pPr>
        <w:pBdr>
          <w:bottom w:val="single" w:sz="6" w:space="1" w:color="auto"/>
        </w:pBdr>
        <w:overflowPunct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454D2" w:rsidRPr="00E534A7" w:rsidRDefault="00A454D2" w:rsidP="00817D84">
      <w:pPr>
        <w:pBdr>
          <w:bottom w:val="single" w:sz="6" w:space="1" w:color="auto"/>
        </w:pBdr>
        <w:overflowPunct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17D84" w:rsidRPr="00817D84" w:rsidRDefault="00817D84" w:rsidP="00817D84">
      <w:pPr>
        <w:pBdr>
          <w:bottom w:val="single" w:sz="6" w:space="1" w:color="auto"/>
        </w:pBdr>
        <w:overflowPunct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ГОСТ 22266-94</w:t>
      </w:r>
    </w:p>
    <w:p w:rsidR="00817D84" w:rsidRPr="00817D84" w:rsidRDefault="00817D84" w:rsidP="00817D84">
      <w:pPr>
        <w:pBdr>
          <w:bottom w:val="single" w:sz="6" w:space="1" w:color="auto"/>
        </w:pBd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bCs/>
          <w:spacing w:val="50"/>
          <w:sz w:val="24"/>
          <w:szCs w:val="20"/>
          <w:lang w:eastAsia="ru-RU"/>
        </w:rPr>
        <w:t>МЕЖГОСУДАРСТВЕННЫЙ СТАНДАРТ</w:t>
      </w:r>
    </w:p>
    <w:p w:rsidR="00817D84" w:rsidRPr="00817D84" w:rsidRDefault="00817D84" w:rsidP="00817D84">
      <w:pPr>
        <w:overflowPunct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ЦЕМЕНТЫ СУЛЬФАТОСТОЙКИЕ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17D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Техническиеусловия</w:t>
      </w:r>
    </w:p>
    <w:p w:rsidR="00817D84" w:rsidRPr="00E534A7" w:rsidRDefault="00817D84" w:rsidP="00817D84">
      <w:pPr>
        <w:pBdr>
          <w:bottom w:val="single" w:sz="6" w:space="1" w:color="auto"/>
        </w:pBdr>
        <w:overflowPunct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17D84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Sulphate-resistant cements. </w:t>
      </w:r>
      <w:r w:rsidRPr="00E534A7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Specifications</w:t>
      </w:r>
    </w:p>
    <w:p w:rsidR="00817D84" w:rsidRPr="00E534A7" w:rsidRDefault="00817D84" w:rsidP="00817D84">
      <w:pPr>
        <w:overflowPunct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17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Дата</w:t>
      </w:r>
      <w:r w:rsidRPr="00E534A7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 xml:space="preserve"> </w:t>
      </w:r>
      <w:r w:rsidRPr="00817D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введения</w:t>
      </w:r>
      <w:r w:rsidRPr="00E534A7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 xml:space="preserve"> 1996-01-01</w:t>
      </w:r>
    </w:p>
    <w:p w:rsidR="00817D84" w:rsidRPr="00817D84" w:rsidRDefault="00817D84" w:rsidP="00817D84">
      <w:pPr>
        <w:widowControl w:val="0"/>
        <w:overflowPunct w:val="0"/>
        <w:adjustRightInd w:val="0"/>
        <w:spacing w:before="120" w:after="120" w:line="240" w:lineRule="auto"/>
        <w:ind w:firstLine="312"/>
        <w:jc w:val="both"/>
        <w:outlineLvl w:val="0"/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  <w:t>1 ОБЛАСТЬ ПРИМЕНЕНИЯ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Настоящий стандарт распространяется на сульфатостойкие цементы (далее - цементы), предназначенные для изготовления бетонных и железобетонных конструкций, обладающих коррозионной стойкостью при воздействии сред, агрессивных по содержанию в них сульфатов.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требования настоящего стандарта являются обязательными.</w:t>
      </w:r>
    </w:p>
    <w:p w:rsidR="00817D84" w:rsidRPr="00817D84" w:rsidRDefault="00817D84" w:rsidP="00817D84">
      <w:pPr>
        <w:widowControl w:val="0"/>
        <w:overflowPunct w:val="0"/>
        <w:adjustRightInd w:val="0"/>
        <w:spacing w:before="120" w:after="120" w:line="240" w:lineRule="auto"/>
        <w:ind w:firstLine="232"/>
        <w:jc w:val="both"/>
        <w:outlineLvl w:val="0"/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  <w:t>2 НОРМАТИВНЫЕ ССЫЛКИ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Используемые в настоящем стандарте ссылки на стандарты приведены в приложении </w:t>
      </w:r>
      <w:r w:rsidRPr="00817D8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17D84" w:rsidRPr="00817D84" w:rsidRDefault="00817D84" w:rsidP="00817D84">
      <w:pPr>
        <w:widowControl w:val="0"/>
        <w:overflowPunct w:val="0"/>
        <w:adjustRightInd w:val="0"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  <w:t>3 КЛАССИФИКАЦИЯ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3.1</w:t>
      </w:r>
      <w:proofErr w:type="gram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</w:t>
      </w:r>
      <w:proofErr w:type="gram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вещественному составу сульфатостойкие цементы подразделяют на виды: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сульфатостойкий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портландцемент;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сульфатостойкий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портландцемент с минеральными добавками;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сульфатостойкий</w:t>
      </w:r>
      <w:proofErr w:type="spellEnd"/>
      <w:r w:rsidR="00E534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шлакопортланцемент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- пуццолановый портландцемент.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3.2</w:t>
      </w:r>
      <w:proofErr w:type="gram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</w:t>
      </w:r>
      <w:proofErr w:type="gram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прочности при сжатии в возрасте 28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сут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цементы подразделяют на марки: 300, 400, 500.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3.3 Условное обозначение цемента должно состоять </w:t>
      </w:r>
      <w:proofErr w:type="gram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из</w:t>
      </w:r>
      <w:proofErr w:type="gram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вида цемента по </w:t>
      </w:r>
      <w:r w:rsidRPr="00817D8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3.1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Допускается сокращенное наименование цемента по ГОСТ 10178 (ПЦ, ШПЦ) с добавлением обозначения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сульфатостойкости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СС, а для пуццоланового цемента - ППЦ;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марки цемента по </w:t>
      </w:r>
      <w:r w:rsidRPr="00817D8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3.2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обозначения максимального содержания добавок в цементе - Д</w:t>
      </w:r>
      <w:proofErr w:type="gram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proofErr w:type="gram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, Д20, Д60;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обозначения пластификации цемента - </w:t>
      </w:r>
      <w:proofErr w:type="gram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ПЛ</w:t>
      </w:r>
      <w:proofErr w:type="gram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обозначения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гидрофобизации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цемента - ГФ;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обозначения настоящего стандарта.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Cs/>
          <w:spacing w:val="50"/>
          <w:sz w:val="24"/>
          <w:szCs w:val="20"/>
          <w:lang w:eastAsia="ru-RU"/>
        </w:rPr>
        <w:t>Примеры условных обозначений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Сульфатостойкий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портландцемент марки 400 с добавками до 20 %, пластифицированный: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17D8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Сульфатостойкий</w:t>
      </w:r>
      <w:proofErr w:type="spellEnd"/>
      <w:r w:rsidRPr="00817D8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портландцемент 400-Д20-ПЛ ГОСТ 22266-94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</w:t>
      </w:r>
    </w:p>
    <w:p w:rsidR="00817D84" w:rsidRPr="00817D84" w:rsidRDefault="00817D84" w:rsidP="00817D84">
      <w:pPr>
        <w:overflowPunct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ССПЦ400-Д20-ПЛ ГОСТ 22266-94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2 Пуццолановый портландцемент марки 300: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Пуццолановый портландцемент 300 ГОСТ 22266-94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</w:t>
      </w:r>
    </w:p>
    <w:p w:rsidR="00817D84" w:rsidRPr="00817D84" w:rsidRDefault="00817D84" w:rsidP="00817D84">
      <w:pPr>
        <w:overflowPunct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ППЦ300 ГОСТ 22266-94</w:t>
      </w:r>
    </w:p>
    <w:p w:rsidR="00817D84" w:rsidRPr="00817D84" w:rsidRDefault="00817D84" w:rsidP="00817D84">
      <w:pPr>
        <w:widowControl w:val="0"/>
        <w:overflowPunct w:val="0"/>
        <w:adjustRightInd w:val="0"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  <w:t>4 ТЕХНИЧЕСКИЕ ТРЕБОВАНИЯ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Цементы должны изготовляться в соответствии с требованиями настоящего стандарта по техническому регламенту, утвержденному предприятием-изготовителем.</w:t>
      </w:r>
    </w:p>
    <w:p w:rsidR="00817D84" w:rsidRPr="00817D84" w:rsidRDefault="00817D84" w:rsidP="00817D84">
      <w:pPr>
        <w:widowControl w:val="0"/>
        <w:overflowPunct w:val="0"/>
        <w:adjustRightInd w:val="0"/>
        <w:spacing w:before="120" w:after="12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>4.1 Характеристики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4.1.1 Клинкер, применяемый при производстве цементов, по расчетному минералогическому составу должен соответствовать требованиям, указанным в таблице </w:t>
      </w:r>
      <w:r w:rsidRPr="00817D8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17D84" w:rsidRPr="00817D84" w:rsidRDefault="00817D84" w:rsidP="00817D84">
      <w:pPr>
        <w:overflowPunct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Cs/>
          <w:spacing w:val="50"/>
          <w:sz w:val="24"/>
          <w:szCs w:val="20"/>
          <w:lang w:eastAsia="ru-RU"/>
        </w:rPr>
        <w:t>Таблица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2771"/>
        <w:gridCol w:w="1385"/>
        <w:gridCol w:w="1385"/>
        <w:gridCol w:w="3126"/>
        <w:gridCol w:w="1312"/>
      </w:tblGrid>
      <w:tr w:rsidR="00817D84" w:rsidRPr="00817D84">
        <w:trPr>
          <w:tblHeader/>
          <w:jc w:val="center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для клинкера, % по массе, не более, по видам цемента</w:t>
            </w:r>
          </w:p>
        </w:tc>
      </w:tr>
      <w:tr w:rsidR="00817D84" w:rsidRPr="00817D8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сульфатостойкий</w:t>
            </w:r>
            <w:proofErr w:type="spellEnd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портландцемент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сульфатостойкий</w:t>
            </w:r>
            <w:proofErr w:type="spellEnd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портландцемент с минеральными добавками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сульфатостойкийшлакопортландцемент</w:t>
            </w:r>
            <w:proofErr w:type="spellEnd"/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пуццолановый портландцемент</w:t>
            </w:r>
          </w:p>
        </w:tc>
      </w:tr>
      <w:tr w:rsidR="00817D84" w:rsidRPr="00817D84">
        <w:trPr>
          <w:jc w:val="center"/>
        </w:trPr>
        <w:tc>
          <w:tcPr>
            <w:tcW w:w="1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трехкальциевого</w:t>
            </w:r>
            <w:proofErr w:type="spellEnd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силиката (3CaO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Times New Roman" w:char="F0B7"/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SiO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0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</w:tr>
      <w:tr w:rsidR="00817D84" w:rsidRPr="00817D84">
        <w:trPr>
          <w:jc w:val="center"/>
        </w:trPr>
        <w:tc>
          <w:tcPr>
            <w:tcW w:w="1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трехкальциевого</w:t>
            </w:r>
            <w:proofErr w:type="spellEnd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алюмината (3CaO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Times New Roman" w:char="F0B7"/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17D84" w:rsidRPr="00817D84">
        <w:trPr>
          <w:jc w:val="center"/>
        </w:trPr>
        <w:tc>
          <w:tcPr>
            <w:tcW w:w="1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трехкальциевого</w:t>
            </w:r>
            <w:proofErr w:type="spellEnd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алюмината (3CaO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Times New Roman" w:char="F0B7"/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четырехкальциевогоалюмоферрита</w:t>
            </w:r>
            <w:proofErr w:type="spellEnd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(4CaO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Times New Roman" w:char="F0B7"/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Times New Roman" w:char="F0B7"/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</w:tr>
      <w:tr w:rsidR="00817D84" w:rsidRPr="00817D84">
        <w:trPr>
          <w:jc w:val="center"/>
        </w:trPr>
        <w:tc>
          <w:tcPr>
            <w:tcW w:w="1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оксида алюминия (Al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6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17D84" w:rsidRPr="00817D84">
        <w:trPr>
          <w:jc w:val="center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оксида магния (MgO)</w:t>
            </w:r>
          </w:p>
        </w:tc>
        <w:tc>
          <w:tcPr>
            <w:tcW w:w="366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817D84" w:rsidRPr="00817D84" w:rsidRDefault="00817D84" w:rsidP="00817D84">
      <w:pPr>
        <w:overflowPunct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4.1.2 Содержание добавок в цементе в зависимости от их вида должно соответствовать </w:t>
      </w:r>
      <w:proofErr w:type="gram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указанному</w:t>
      </w:r>
      <w:proofErr w:type="gram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таблице </w:t>
      </w:r>
      <w:r w:rsidRPr="00817D8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4.1.3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Всульфатостойком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портландцементе</w:t>
      </w:r>
      <w:proofErr w:type="gram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минеральными добавками допускается использовать смеси шлака и пуццоланы, общее количество которых не должно превышать 20 %.</w:t>
      </w:r>
    </w:p>
    <w:p w:rsidR="00817D84" w:rsidRPr="00817D84" w:rsidRDefault="00817D84" w:rsidP="00817D84">
      <w:pPr>
        <w:overflowPunct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Cs/>
          <w:spacing w:val="50"/>
          <w:sz w:val="24"/>
          <w:szCs w:val="20"/>
          <w:lang w:eastAsia="ru-RU"/>
        </w:rPr>
        <w:t>Таблица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</w:t>
      </w:r>
    </w:p>
    <w:p w:rsidR="00817D84" w:rsidRPr="00817D84" w:rsidRDefault="00817D84" w:rsidP="00817D84">
      <w:pPr>
        <w:overflowPunct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В процентах от массы цемента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305"/>
        <w:gridCol w:w="3032"/>
        <w:gridCol w:w="2642"/>
      </w:tblGrid>
      <w:tr w:rsidR="00817D84" w:rsidRPr="00817D84">
        <w:trPr>
          <w:tblHeader/>
          <w:jc w:val="center"/>
        </w:trPr>
        <w:tc>
          <w:tcPr>
            <w:tcW w:w="2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цемента</w:t>
            </w:r>
          </w:p>
        </w:tc>
        <w:tc>
          <w:tcPr>
            <w:tcW w:w="284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добавок</w:t>
            </w:r>
          </w:p>
        </w:tc>
      </w:tr>
      <w:tr w:rsidR="00817D84" w:rsidRPr="00817D8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Гранулированного доменного шлака, </w:t>
            </w: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электротермофосфорного</w:t>
            </w:r>
            <w:proofErr w:type="spellEnd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шлака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Пуццоланы</w:t>
            </w:r>
          </w:p>
        </w:tc>
      </w:tr>
      <w:tr w:rsidR="00817D84" w:rsidRPr="00817D84">
        <w:trPr>
          <w:jc w:val="center"/>
        </w:trPr>
        <w:tc>
          <w:tcPr>
            <w:tcW w:w="21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Сульфатостойкий</w:t>
            </w:r>
            <w:proofErr w:type="spellEnd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портландцемент</w:t>
            </w:r>
          </w:p>
        </w:tc>
        <w:tc>
          <w:tcPr>
            <w:tcW w:w="284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817D84" w:rsidRPr="00817D84">
        <w:trPr>
          <w:jc w:val="center"/>
        </w:trPr>
        <w:tc>
          <w:tcPr>
            <w:tcW w:w="21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Сульфатостойкий</w:t>
            </w:r>
            <w:proofErr w:type="spellEnd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портландцемент с минеральными добавками</w:t>
            </w:r>
          </w:p>
        </w:tc>
        <w:tc>
          <w:tcPr>
            <w:tcW w:w="284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 и не более 20</w:t>
            </w:r>
          </w:p>
        </w:tc>
      </w:tr>
      <w:tr w:rsidR="00817D84" w:rsidRPr="00817D84">
        <w:trPr>
          <w:jc w:val="center"/>
        </w:trPr>
        <w:tc>
          <w:tcPr>
            <w:tcW w:w="21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Сульфатостойкийшлакопортландцемент</w:t>
            </w:r>
            <w:proofErr w:type="spellEnd"/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40 и не более 60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17D84" w:rsidRPr="00817D84">
        <w:trPr>
          <w:jc w:val="center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Пуццолановый портландцемент</w:t>
            </w: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20 и не более 40</w:t>
            </w:r>
          </w:p>
        </w:tc>
      </w:tr>
    </w:tbl>
    <w:p w:rsidR="00817D84" w:rsidRPr="00817D84" w:rsidRDefault="00817D84" w:rsidP="00817D84">
      <w:pPr>
        <w:overflowPunct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4.1.4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Всульфатостойкомшлакопортландцементе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допускается замена шлака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пуццоланой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золой (кислой) в количестве не более 10 % от массы цемента.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4.1.5 Содержание ангидрида серной кислоты (SO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3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в цементе не должно превышать значений, приведенных в таблице </w:t>
      </w:r>
      <w:r w:rsidRPr="00817D8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17D84" w:rsidRPr="00817D84" w:rsidRDefault="00817D84" w:rsidP="00817D84">
      <w:pPr>
        <w:overflowPunct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Cs/>
          <w:spacing w:val="50"/>
          <w:sz w:val="24"/>
          <w:szCs w:val="20"/>
          <w:lang w:eastAsia="ru-RU"/>
        </w:rPr>
        <w:t>Таблица 3</w:t>
      </w:r>
    </w:p>
    <w:p w:rsidR="00817D84" w:rsidRPr="00817D84" w:rsidRDefault="00817D84" w:rsidP="00817D84">
      <w:pPr>
        <w:overflowPunct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В процентах, не более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257"/>
        <w:gridCol w:w="3722"/>
      </w:tblGrid>
      <w:tr w:rsidR="00817D84" w:rsidRPr="00817D84">
        <w:trPr>
          <w:tblHeader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цемента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SO</w:t>
            </w: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</w:tr>
      <w:tr w:rsidR="00817D84" w:rsidRPr="00817D84">
        <w:trPr>
          <w:jc w:val="center"/>
        </w:trPr>
        <w:tc>
          <w:tcPr>
            <w:tcW w:w="3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Сульфатостойкий</w:t>
            </w:r>
            <w:proofErr w:type="spellEnd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портландцемент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17D84" w:rsidRPr="00817D84">
        <w:trPr>
          <w:jc w:val="center"/>
        </w:trPr>
        <w:tc>
          <w:tcPr>
            <w:tcW w:w="3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Сульфатостойкий</w:t>
            </w:r>
            <w:proofErr w:type="spellEnd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портландцемент с минеральными добавками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17D84" w:rsidRPr="00817D84">
        <w:trPr>
          <w:jc w:val="center"/>
        </w:trPr>
        <w:tc>
          <w:tcPr>
            <w:tcW w:w="3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Сульфатостойкийшлакопортландцемент</w:t>
            </w:r>
            <w:proofErr w:type="spellEnd"/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817D84" w:rsidRPr="00817D84">
        <w:trPr>
          <w:jc w:val="center"/>
        </w:trPr>
        <w:tc>
          <w:tcPr>
            <w:tcW w:w="3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Пуццолановый портландцемент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</w:tbl>
    <w:p w:rsidR="00817D84" w:rsidRPr="00817D84" w:rsidRDefault="00817D84" w:rsidP="00817D84">
      <w:pPr>
        <w:overflowPunct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4.1.6</w:t>
      </w:r>
      <w:proofErr w:type="gram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</w:t>
      </w:r>
      <w:proofErr w:type="gram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опускается вводить в цемент при помоле пластифицирующие и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гидрофобизирующие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поверхностно-активные добавки в количестве не более 0,3 % от массы цемента в пересчете на сухое вещество добавки.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Подвижность цементно-песчаного раствора состава 1:3 из пластифицированных цементов всех видов должна быть такой, чтобы при водоцементном отношении, равном 0,4,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расплыв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стандартного конуса был не менее 135 мм.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Гидрофобный цемент не должен впитывать в себя воду в течение 5 мин от момента нанесения капли воды на поверхность цемента.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4.1.7</w:t>
      </w:r>
      <w:proofErr w:type="gram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</w:t>
      </w:r>
      <w:proofErr w:type="gram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ри производстве цемента для интенсификации процесса помола допускается вводить технологические добавки, не ухудшающие качество цемента, в количестве не более 1 % от массы цемента.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Эффективность применения технологических добавок, а также отсутствие отрицательного их влияния на свойства бетона должны быть подтверждены результатами испытаний цемента и бетона.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4.1.8 Предел прочности цементов при сжатии должен быть не менее величин, указанных в таблице </w:t>
      </w:r>
      <w:r w:rsidRPr="00817D8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17D84" w:rsidRPr="00817D84" w:rsidRDefault="00817D84" w:rsidP="00817D84">
      <w:pPr>
        <w:overflowPunct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Cs/>
          <w:spacing w:val="50"/>
          <w:sz w:val="24"/>
          <w:szCs w:val="20"/>
          <w:lang w:eastAsia="ru-RU"/>
        </w:rPr>
        <w:t>Таблица 4</w:t>
      </w:r>
    </w:p>
    <w:p w:rsidR="00817D84" w:rsidRPr="00817D84" w:rsidRDefault="00817D84" w:rsidP="00817D84">
      <w:pPr>
        <w:overflowPunct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мегапаскалях</w:t>
      </w:r>
      <w:proofErr w:type="spellEnd"/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4305"/>
        <w:gridCol w:w="1886"/>
        <w:gridCol w:w="3788"/>
      </w:tblGrid>
      <w:tr w:rsidR="00817D84" w:rsidRPr="00817D84">
        <w:trPr>
          <w:tblHeader/>
          <w:jc w:val="center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цемента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цемента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 прочности при сжатии в возрасте 28 </w:t>
            </w: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817D84" w:rsidRPr="00817D84">
        <w:trPr>
          <w:jc w:val="center"/>
        </w:trPr>
        <w:tc>
          <w:tcPr>
            <w:tcW w:w="21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Сульфатостойкий</w:t>
            </w:r>
            <w:proofErr w:type="spellEnd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портландцемент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</w:tr>
      <w:tr w:rsidR="00817D84" w:rsidRPr="00817D84">
        <w:trPr>
          <w:jc w:val="center"/>
        </w:trPr>
        <w:tc>
          <w:tcPr>
            <w:tcW w:w="2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Сульфатостойкий</w:t>
            </w:r>
            <w:proofErr w:type="spellEnd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портландцемент с минеральными добавками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817D84" w:rsidRPr="00817D84">
        <w:trPr>
          <w:jc w:val="center"/>
        </w:trPr>
        <w:tc>
          <w:tcPr>
            <w:tcW w:w="2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Сульфатостойкийшлакопортландцемент</w:t>
            </w:r>
            <w:proofErr w:type="spellEnd"/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</w:tr>
      <w:tr w:rsidR="00817D84" w:rsidRPr="00817D84">
        <w:trPr>
          <w:jc w:val="center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Пуццолановый портландцемент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</w:tr>
    </w:tbl>
    <w:p w:rsidR="00817D84" w:rsidRPr="00817D84" w:rsidRDefault="00817D84" w:rsidP="00817D84">
      <w:pPr>
        <w:overflowPunct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4.1.9 Цемент должен показывать равномерность изменения объема при испытании образцов кипячением в воде.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4.1.10 Начало схватывания цемента должно наступать не ранее 45 мин, конец - не позднее 10 ч от начала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затворения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4.1.11 Тонкость помола цемента, определяемая по удельной поверхности, должна быть не менее 250 м</w:t>
      </w:r>
      <w:proofErr w:type="gramStart"/>
      <w:r w:rsidRPr="00817D8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/кг. Для цементов, содержащих добавки осадочного происхождения, тонкость помола определяю по остатку на сите с сеткой № 008 по ГОСТ 6613. Остаток на сите не должен быть более 15 % от массы просеиваемой пробы.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4.1.12 Содержание щелочей в цементе устанавливают договором на поставку.</w:t>
      </w:r>
    </w:p>
    <w:p w:rsidR="00817D84" w:rsidRPr="00817D84" w:rsidRDefault="00817D84" w:rsidP="00817D84">
      <w:pPr>
        <w:widowControl w:val="0"/>
        <w:overflowPunct w:val="0"/>
        <w:adjustRightInd w:val="0"/>
        <w:spacing w:before="120" w:after="12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>4.2 Требования к материалам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изготовления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сульфатостойких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цементов применяют: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портландцементный клинкер нормированного состава в соответствии с таблицей </w:t>
      </w:r>
      <w:r w:rsidRPr="00817D8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- гипсовый камень по ГОСТ 4013. Допускается применять другие материалы, содержащие сульфат кальция, по соответствующей нормативной документации;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- активные минеральные добавки по соответствующей нормативной документации;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гранулированные доменные или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электротермофосфорные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шлаки по ГОСТ 3476. Содержание оксида алюминия (Al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2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O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3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в шлаках для изготовления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сульфатостойкого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портландцемента с минеральными добавками не должно быть более 8 %, а в шлаках, предназначенных для изготовления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сульфатостойкогошлакопортландцемента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, - не более 12 %.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Удельная эффективная активность естественных радионуклидов в сырьевых материалах и добавках, применяемых для производства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сульфатостойких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цементов, не должна быть более 740 Бк/кг.</w:t>
      </w:r>
    </w:p>
    <w:p w:rsidR="00817D84" w:rsidRPr="00817D84" w:rsidRDefault="00817D84" w:rsidP="00817D84">
      <w:pPr>
        <w:widowControl w:val="0"/>
        <w:overflowPunct w:val="0"/>
        <w:adjustRightInd w:val="0"/>
        <w:spacing w:before="120" w:after="12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>4.3 Маркировка и упаковка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Маркировку и упаковку цементов производят по ГОСТ 22237.</w:t>
      </w:r>
    </w:p>
    <w:p w:rsidR="00817D84" w:rsidRPr="00817D84" w:rsidRDefault="00817D84" w:rsidP="00817D84">
      <w:pPr>
        <w:widowControl w:val="0"/>
        <w:overflowPunct w:val="0"/>
        <w:adjustRightInd w:val="0"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  <w:t>5 ПРАВИЛА ПРИЕМКИ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Приемку цементов производят по ГОСТ 22236.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документе о качестве должно быть указано максимальное значение удельной эффективной активности естественных радионуклидов в сырьевых материалах и добавках, примененных для изготовления цемента данной партии.</w:t>
      </w:r>
    </w:p>
    <w:p w:rsidR="00817D84" w:rsidRPr="00817D84" w:rsidRDefault="00817D84" w:rsidP="00817D84">
      <w:pPr>
        <w:widowControl w:val="0"/>
        <w:overflowPunct w:val="0"/>
        <w:adjustRightInd w:val="0"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  <w:t>6 МЕТОДЫ КОНТРОЛЯ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6.1 Определение физико-механических свойств цемента производят по ГОСТ 310.1-310.4.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6.2 Химический анализ клинкера и цемента проводят по ГОСТ 5382.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6.3 Содержание в клинкере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трехкальциевого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силиката (3CaO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D7"/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SiO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2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трехкальциевого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алюмината (3CaO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D7"/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Al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2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O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3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четырехкальциевогоалюмоферрита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(4CaO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D7"/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Al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2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O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3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D7"/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Fe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2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O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3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) и суммы щелочных оксидов (R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2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O) рассчитывают на основании результатов химического анализа по формулам:</w:t>
      </w:r>
    </w:p>
    <w:p w:rsidR="00817D84" w:rsidRPr="00817D84" w:rsidRDefault="00817D84" w:rsidP="00817D84">
      <w:pPr>
        <w:tabs>
          <w:tab w:val="left" w:pos="7176"/>
        </w:tabs>
        <w:overflowPunct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3CaO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D7"/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SiO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2</w:t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= 4</w:t>
      </w:r>
      <w:proofErr w:type="gramStart"/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,07</w:t>
      </w:r>
      <w:proofErr w:type="gramEnd"/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(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CaO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-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CaO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св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) - 7,6(SiO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2</w:t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- SiO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2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св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.</w:t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) - 6,7Al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2</w:t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3</w:t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- 1,42Fe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2</w:t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3</w:t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;  (1)</w:t>
      </w:r>
    </w:p>
    <w:p w:rsidR="00817D84" w:rsidRPr="00817D84" w:rsidRDefault="00817D84" w:rsidP="00817D84">
      <w:pPr>
        <w:tabs>
          <w:tab w:val="left" w:pos="6474"/>
        </w:tabs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3CaO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D7"/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Al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2</w:t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3</w:t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= 2</w:t>
      </w:r>
      <w:proofErr w:type="gramStart"/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,65</w:t>
      </w:r>
      <w:proofErr w:type="gramEnd"/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(Al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2</w:t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3</w:t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- 0,64Fe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2</w:t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3</w:t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);                                             (2)</w:t>
      </w:r>
    </w:p>
    <w:p w:rsidR="00817D84" w:rsidRPr="00817D84" w:rsidRDefault="00817D84" w:rsidP="00817D84">
      <w:pPr>
        <w:tabs>
          <w:tab w:val="left" w:pos="6162"/>
        </w:tabs>
        <w:overflowPunct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4CaO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D7"/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Al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2</w:t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3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D7"/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Fe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2</w:t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3</w:t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= 3,04Fe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2</w:t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3</w:t>
      </w:r>
      <w:r w:rsidRPr="00817D8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;                                                    (3)</w:t>
      </w:r>
    </w:p>
    <w:p w:rsidR="00817D84" w:rsidRPr="00817D84" w:rsidRDefault="00817D84" w:rsidP="00817D84">
      <w:pPr>
        <w:tabs>
          <w:tab w:val="left" w:pos="6006"/>
        </w:tabs>
        <w:overflowPunct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R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2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O = Na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2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O + 0,658K</w:t>
      </w:r>
      <w:r w:rsidRPr="00817D84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2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O.                                                            (4)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6.4 Определение удельной эффективной активности естественных радионуклидов в сырьевых материалах и добавках, применяемых для производства цементов, при необходимости проводят по ГОСТ 30108.</w:t>
      </w:r>
    </w:p>
    <w:p w:rsidR="00817D84" w:rsidRPr="00817D84" w:rsidRDefault="00817D84" w:rsidP="00817D84">
      <w:pPr>
        <w:widowControl w:val="0"/>
        <w:overflowPunct w:val="0"/>
        <w:adjustRightInd w:val="0"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  <w:t>7 ТРАНСПОРТИРОВАНИЕ И ХРАНЕНИЕ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Транспортирование и хранение цементов производят по ГОСТ 22237.</w:t>
      </w:r>
    </w:p>
    <w:p w:rsidR="00817D84" w:rsidRPr="00817D84" w:rsidRDefault="00817D84" w:rsidP="00817D84">
      <w:pPr>
        <w:widowControl w:val="0"/>
        <w:overflowPunct w:val="0"/>
        <w:adjustRightInd w:val="0"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  <w:t>8 УКАЗАНИЯ ПО ПРИМЕНЕНИЮ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Цементы, в зависимости от специальных требований, предъявляемых к бетону, рекомендуется применять в соответствии с таблицей </w:t>
      </w:r>
      <w:r w:rsidRPr="00817D8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</w:t>
      </w: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17D84" w:rsidRPr="00817D84" w:rsidRDefault="00817D84" w:rsidP="00817D84">
      <w:pPr>
        <w:overflowPunct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Cs/>
          <w:spacing w:val="50"/>
          <w:sz w:val="24"/>
          <w:szCs w:val="20"/>
          <w:lang w:eastAsia="ru-RU"/>
        </w:rPr>
        <w:t>Таблица 5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845"/>
        <w:gridCol w:w="1581"/>
        <w:gridCol w:w="1581"/>
        <w:gridCol w:w="3518"/>
        <w:gridCol w:w="1454"/>
      </w:tblGrid>
      <w:tr w:rsidR="00817D84" w:rsidRPr="00817D84">
        <w:trPr>
          <w:tblHeader/>
          <w:jc w:val="center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требования, предъявляемые к бетону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Сульфатостойкий</w:t>
            </w:r>
            <w:proofErr w:type="spellEnd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портландцемент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Сульфатостойкий</w:t>
            </w:r>
            <w:proofErr w:type="spellEnd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портландцемент с минеральными добавками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Сульфатостойкийшлакопортландцемент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Пуццолановый портландцемент</w:t>
            </w:r>
          </w:p>
        </w:tc>
      </w:tr>
      <w:tr w:rsidR="00817D84" w:rsidRPr="00817D84">
        <w:trPr>
          <w:jc w:val="center"/>
        </w:trPr>
        <w:tc>
          <w:tcPr>
            <w:tcW w:w="1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Коррозионная стойкость при действии сред, агрессивных по содержанию сульфатов</w:t>
            </w:r>
          </w:p>
        </w:tc>
        <w:tc>
          <w:tcPr>
            <w:tcW w:w="371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Разрешается применять все цементы</w:t>
            </w:r>
          </w:p>
        </w:tc>
      </w:tr>
      <w:tr w:rsidR="00817D84" w:rsidRPr="00817D84">
        <w:trPr>
          <w:jc w:val="center"/>
        </w:trPr>
        <w:tc>
          <w:tcPr>
            <w:tcW w:w="1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Коррозионная стойкость при действии сред, агрессивных по содержанию сульфатов, при одновременном систематическом замораживании и оттаивании или увлажнении и высыхании</w:t>
            </w:r>
          </w:p>
        </w:tc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Разрешается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Разрешается применять только цемент марки 400 при условии введения в состав цемента или бетона поверхностно-активных добавок, повышающих морозостойкость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разрешается</w:t>
            </w:r>
          </w:p>
        </w:tc>
      </w:tr>
      <w:tr w:rsidR="00817D84" w:rsidRPr="00817D84">
        <w:trPr>
          <w:jc w:val="center"/>
        </w:trPr>
        <w:tc>
          <w:tcPr>
            <w:tcW w:w="12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Коррозионная стойкость при действии сред, агрессивных по содержанию сульфатов, и пониженное тепловыделение</w:t>
            </w:r>
          </w:p>
        </w:tc>
        <w:tc>
          <w:tcPr>
            <w:tcW w:w="3716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84" w:rsidRPr="00817D84" w:rsidRDefault="00817D84" w:rsidP="00817D84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Разрешается применять все цементы</w:t>
            </w:r>
          </w:p>
        </w:tc>
      </w:tr>
    </w:tbl>
    <w:p w:rsidR="00817D84" w:rsidRPr="00817D84" w:rsidRDefault="00817D84" w:rsidP="00817D84">
      <w:pPr>
        <w:widowControl w:val="0"/>
        <w:overflowPunct w:val="0"/>
        <w:adjustRightInd w:val="0"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  <w:t>9 ГАРАНТИИ ИЗГОТОВИТЕЛЯ</w:t>
      </w:r>
    </w:p>
    <w:p w:rsidR="00817D84" w:rsidRPr="00817D84" w:rsidRDefault="00817D84" w:rsidP="00817D84">
      <w:pPr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Изготовитель гарантирует соответствие цемента всем требованиям настоящего стандарта при соблюдении правил его транспортирования и хранения при поставке в таре в течение 60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сут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после отгрузки, а при поставке навалом - на момент получения цемента потребителем, но не более 60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сут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454D2" w:rsidRPr="00E534A7" w:rsidRDefault="00A454D2" w:rsidP="00817D84">
      <w:pPr>
        <w:widowControl w:val="0"/>
        <w:overflowPunct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28"/>
          <w:sz w:val="24"/>
          <w:szCs w:val="20"/>
          <w:lang w:eastAsia="ru-RU"/>
        </w:rPr>
      </w:pPr>
    </w:p>
    <w:p w:rsidR="00A454D2" w:rsidRPr="00E534A7" w:rsidRDefault="00A454D2" w:rsidP="00817D84">
      <w:pPr>
        <w:widowControl w:val="0"/>
        <w:overflowPunct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28"/>
          <w:sz w:val="24"/>
          <w:szCs w:val="20"/>
          <w:lang w:eastAsia="ru-RU"/>
        </w:rPr>
      </w:pPr>
    </w:p>
    <w:p w:rsidR="00A454D2" w:rsidRPr="00E534A7" w:rsidRDefault="00A454D2" w:rsidP="00817D84">
      <w:pPr>
        <w:widowControl w:val="0"/>
        <w:overflowPunct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28"/>
          <w:sz w:val="24"/>
          <w:szCs w:val="20"/>
          <w:lang w:eastAsia="ru-RU"/>
        </w:rPr>
      </w:pPr>
    </w:p>
    <w:p w:rsidR="00A454D2" w:rsidRPr="00E534A7" w:rsidRDefault="00A454D2" w:rsidP="00817D84">
      <w:pPr>
        <w:widowControl w:val="0"/>
        <w:overflowPunct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28"/>
          <w:sz w:val="24"/>
          <w:szCs w:val="20"/>
          <w:lang w:eastAsia="ru-RU"/>
        </w:rPr>
      </w:pPr>
    </w:p>
    <w:p w:rsidR="00A454D2" w:rsidRPr="00E534A7" w:rsidRDefault="00A454D2" w:rsidP="00817D84">
      <w:pPr>
        <w:widowControl w:val="0"/>
        <w:overflowPunct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28"/>
          <w:sz w:val="24"/>
          <w:szCs w:val="20"/>
          <w:lang w:eastAsia="ru-RU"/>
        </w:rPr>
      </w:pPr>
    </w:p>
    <w:p w:rsidR="00A454D2" w:rsidRPr="00E534A7" w:rsidRDefault="00A454D2" w:rsidP="00817D84">
      <w:pPr>
        <w:widowControl w:val="0"/>
        <w:overflowPunct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28"/>
          <w:sz w:val="24"/>
          <w:szCs w:val="20"/>
          <w:lang w:eastAsia="ru-RU"/>
        </w:rPr>
      </w:pPr>
    </w:p>
    <w:p w:rsidR="00A454D2" w:rsidRPr="00E534A7" w:rsidRDefault="00A454D2" w:rsidP="00817D84">
      <w:pPr>
        <w:widowControl w:val="0"/>
        <w:overflowPunct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28"/>
          <w:sz w:val="24"/>
          <w:szCs w:val="20"/>
          <w:lang w:eastAsia="ru-RU"/>
        </w:rPr>
      </w:pPr>
    </w:p>
    <w:p w:rsidR="00817D84" w:rsidRPr="00817D84" w:rsidRDefault="00817D84" w:rsidP="00817D84">
      <w:pPr>
        <w:widowControl w:val="0"/>
        <w:overflowPunct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</w:pPr>
      <w:bookmarkStart w:id="0" w:name="_GoBack"/>
      <w:bookmarkEnd w:id="0"/>
      <w:r w:rsidRPr="00817D84">
        <w:rPr>
          <w:rFonts w:ascii="Times New Roman" w:eastAsia="Times New Roman" w:hAnsi="Times New Roman" w:cs="Times New Roman"/>
          <w:bCs/>
          <w:i/>
          <w:kern w:val="28"/>
          <w:sz w:val="24"/>
          <w:szCs w:val="20"/>
          <w:lang w:eastAsia="ru-RU"/>
        </w:rPr>
        <w:t>Приложение</w:t>
      </w:r>
      <w:proofErr w:type="gramStart"/>
      <w:r w:rsidRPr="00817D84">
        <w:rPr>
          <w:rFonts w:ascii="Times New Roman" w:eastAsia="Times New Roman" w:hAnsi="Times New Roman" w:cs="Times New Roman"/>
          <w:bCs/>
          <w:i/>
          <w:kern w:val="28"/>
          <w:sz w:val="24"/>
          <w:szCs w:val="20"/>
          <w:lang w:eastAsia="ru-RU"/>
        </w:rPr>
        <w:t xml:space="preserve"> А</w:t>
      </w:r>
      <w:proofErr w:type="gramEnd"/>
    </w:p>
    <w:p w:rsidR="00817D84" w:rsidRPr="00817D84" w:rsidRDefault="00817D84" w:rsidP="00817D84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(справочное)</w:t>
      </w:r>
    </w:p>
    <w:p w:rsidR="00817D84" w:rsidRPr="00817D84" w:rsidRDefault="00817D84" w:rsidP="00817D84">
      <w:pPr>
        <w:widowControl w:val="0"/>
        <w:overflowPunct w:val="0"/>
        <w:adjustRightInd w:val="0"/>
        <w:spacing w:before="120" w:after="12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iCs/>
          <w:kern w:val="28"/>
          <w:sz w:val="24"/>
          <w:szCs w:val="20"/>
          <w:lang w:eastAsia="ru-RU"/>
        </w:rPr>
        <w:t>ПЕРЕЧЕНЬ СТАНДАРТОВ, НА КОТОРЫЕ ДАНЫ ССЫЛКИ В НАСТОЯЩЕМ СТАНДАРТЕ</w:t>
      </w:r>
    </w:p>
    <w:p w:rsidR="00817D84" w:rsidRPr="00817D84" w:rsidRDefault="00817D84" w:rsidP="00817D84">
      <w:pPr>
        <w:tabs>
          <w:tab w:val="left" w:pos="1701"/>
        </w:tabs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310.1-76   Цементы. Методы испытаний. Общие положения</w:t>
      </w:r>
    </w:p>
    <w:p w:rsidR="00817D84" w:rsidRPr="00817D84" w:rsidRDefault="00817D84" w:rsidP="00817D84">
      <w:pPr>
        <w:tabs>
          <w:tab w:val="left" w:pos="1701"/>
        </w:tabs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310.2-76   Цементы. Методы определения тонкости помола</w:t>
      </w:r>
    </w:p>
    <w:p w:rsidR="00817D84" w:rsidRPr="00817D84" w:rsidRDefault="00817D84" w:rsidP="00817D84">
      <w:pPr>
        <w:tabs>
          <w:tab w:val="left" w:pos="1701"/>
        </w:tabs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310.3-76   Цементы. Методы определения нормальной густоты, сроков схватывания и равномерности изменения объема</w:t>
      </w:r>
    </w:p>
    <w:p w:rsidR="00817D84" w:rsidRPr="00817D84" w:rsidRDefault="00817D84" w:rsidP="00817D84">
      <w:pPr>
        <w:tabs>
          <w:tab w:val="left" w:pos="1701"/>
        </w:tabs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310.4-81   Цементы. Методы определения предела прочности при изгибе и сжатии</w:t>
      </w:r>
    </w:p>
    <w:p w:rsidR="00817D84" w:rsidRPr="00817D84" w:rsidRDefault="00817D84" w:rsidP="00817D84">
      <w:pPr>
        <w:tabs>
          <w:tab w:val="left" w:pos="1701"/>
        </w:tabs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ГОСТ 3476-74    Шлаки доменные и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электротермофосфорные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гранулированные для производства цементов</w:t>
      </w:r>
    </w:p>
    <w:p w:rsidR="00817D84" w:rsidRPr="00817D84" w:rsidRDefault="00817D84" w:rsidP="00817D84">
      <w:pPr>
        <w:tabs>
          <w:tab w:val="left" w:pos="1701"/>
        </w:tabs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4013-82    Камень гипсовый и гипсоангидритовый для производства вяжущих материалов. Технические условия.</w:t>
      </w:r>
    </w:p>
    <w:p w:rsidR="00817D84" w:rsidRPr="00817D84" w:rsidRDefault="00817D84" w:rsidP="00817D84">
      <w:pPr>
        <w:tabs>
          <w:tab w:val="left" w:pos="1701"/>
        </w:tabs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5382-91    Цементы и материалы цементного производства. Методы химического анализа</w:t>
      </w:r>
    </w:p>
    <w:p w:rsidR="00817D84" w:rsidRPr="00817D84" w:rsidRDefault="00817D84" w:rsidP="00817D84">
      <w:pPr>
        <w:tabs>
          <w:tab w:val="left" w:pos="1701"/>
        </w:tabs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6613-86    Сетки проволочные тканые с квадратными ячейками. Технические условия</w:t>
      </w:r>
    </w:p>
    <w:p w:rsidR="00817D84" w:rsidRPr="00817D84" w:rsidRDefault="00817D84" w:rsidP="00817D84">
      <w:pPr>
        <w:tabs>
          <w:tab w:val="left" w:pos="1701"/>
        </w:tabs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ГОСТ 10178-85  Портландцемент и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шлакопортландцемент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. Технические условия</w:t>
      </w:r>
    </w:p>
    <w:p w:rsidR="00817D84" w:rsidRPr="00817D84" w:rsidRDefault="00817D84" w:rsidP="00817D84">
      <w:pPr>
        <w:tabs>
          <w:tab w:val="left" w:pos="1701"/>
        </w:tabs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22236-85  Цементы. Правила приемки</w:t>
      </w:r>
    </w:p>
    <w:p w:rsidR="00817D84" w:rsidRPr="00817D84" w:rsidRDefault="00817D84" w:rsidP="00817D84">
      <w:pPr>
        <w:tabs>
          <w:tab w:val="left" w:pos="1701"/>
        </w:tabs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22237-85  Цементы. Упаковка, маркировка, транспортирование и хранение</w:t>
      </w:r>
    </w:p>
    <w:p w:rsidR="00817D84" w:rsidRPr="00817D84" w:rsidRDefault="00817D84" w:rsidP="00817D84">
      <w:pPr>
        <w:tabs>
          <w:tab w:val="left" w:pos="1701"/>
        </w:tabs>
        <w:overflowPunct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30108-94  Материалы и изделия строительные. Определение удельной эффективной активности естественных радионуклидов</w:t>
      </w:r>
    </w:p>
    <w:p w:rsidR="00817D84" w:rsidRPr="00817D84" w:rsidRDefault="00817D84" w:rsidP="00817D84">
      <w:pPr>
        <w:pBdr>
          <w:top w:val="single" w:sz="6" w:space="1" w:color="auto"/>
          <w:bottom w:val="single" w:sz="6" w:space="1" w:color="auto"/>
        </w:pBdr>
        <w:tabs>
          <w:tab w:val="left" w:pos="1701"/>
        </w:tabs>
        <w:overflowPunct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Ключевые слова: </w:t>
      </w:r>
      <w:proofErr w:type="spellStart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>сульфатостойкий</w:t>
      </w:r>
      <w:proofErr w:type="spellEnd"/>
      <w:r w:rsidRPr="00817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цемент, коррозионная стойкость, клинкер, минеральная добавка, пуццолана</w:t>
      </w:r>
    </w:p>
    <w:p w:rsidR="00817D84" w:rsidRPr="00817D84" w:rsidRDefault="00817D84" w:rsidP="00817D84">
      <w:pPr>
        <w:tabs>
          <w:tab w:val="left" w:pos="1701"/>
        </w:tabs>
        <w:overflowPunct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87"/>
      </w:tblGrid>
      <w:tr w:rsidR="00817D84" w:rsidRPr="00817D84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84" w:rsidRPr="00817D84" w:rsidRDefault="00817D84" w:rsidP="00817D84">
            <w:pPr>
              <w:tabs>
                <w:tab w:val="right" w:leader="dot" w:pos="9071"/>
              </w:tabs>
              <w:overflowPunct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 xml:space="preserve">1 </w:t>
            </w:r>
            <w:r w:rsidRPr="00817D84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0"/>
                <w:u w:val="single"/>
                <w:lang w:eastAsia="ru-RU"/>
              </w:rPr>
              <w:t>о</w:t>
            </w: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>бласть применения</w:t>
            </w:r>
            <w:r w:rsidRPr="00817D84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eastAsia="ru-RU"/>
              </w:rPr>
              <w:t>. 1</w:t>
            </w:r>
          </w:p>
          <w:p w:rsidR="00817D84" w:rsidRPr="00817D84" w:rsidRDefault="00817D84" w:rsidP="00817D84">
            <w:pPr>
              <w:tabs>
                <w:tab w:val="right" w:leader="dot" w:pos="9071"/>
              </w:tabs>
              <w:overflowPunct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 xml:space="preserve">2 </w:t>
            </w:r>
            <w:r w:rsidRPr="00817D84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0"/>
                <w:u w:val="single"/>
                <w:lang w:eastAsia="ru-RU"/>
              </w:rPr>
              <w:t>н</w:t>
            </w: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>ормативные ссылки</w:t>
            </w:r>
            <w:r w:rsidRPr="00817D84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eastAsia="ru-RU"/>
              </w:rPr>
              <w:t>. 2</w:t>
            </w:r>
          </w:p>
          <w:p w:rsidR="00817D84" w:rsidRPr="00817D84" w:rsidRDefault="00817D84" w:rsidP="00817D84">
            <w:pPr>
              <w:tabs>
                <w:tab w:val="right" w:leader="dot" w:pos="9071"/>
              </w:tabs>
              <w:overflowPunct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 xml:space="preserve">3 </w:t>
            </w:r>
            <w:r w:rsidRPr="00817D84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0"/>
                <w:u w:val="single"/>
                <w:lang w:eastAsia="ru-RU"/>
              </w:rPr>
              <w:t>к</w:t>
            </w: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>лассификация</w:t>
            </w:r>
            <w:r w:rsidRPr="00817D84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eastAsia="ru-RU"/>
              </w:rPr>
              <w:t>. 2</w:t>
            </w:r>
          </w:p>
          <w:p w:rsidR="00817D84" w:rsidRPr="00817D84" w:rsidRDefault="00817D84" w:rsidP="00817D84">
            <w:pPr>
              <w:tabs>
                <w:tab w:val="right" w:leader="dot" w:pos="9071"/>
              </w:tabs>
              <w:overflowPunct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 xml:space="preserve">4 </w:t>
            </w:r>
            <w:r w:rsidRPr="00817D84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0"/>
                <w:u w:val="single"/>
                <w:lang w:eastAsia="ru-RU"/>
              </w:rPr>
              <w:t>т</w:t>
            </w: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>ехнические требования</w:t>
            </w:r>
            <w:r w:rsidRPr="00817D84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eastAsia="ru-RU"/>
              </w:rPr>
              <w:t>. 2</w:t>
            </w:r>
          </w:p>
          <w:p w:rsidR="00817D84" w:rsidRPr="00817D84" w:rsidRDefault="00817D84" w:rsidP="00817D84">
            <w:pPr>
              <w:tabs>
                <w:tab w:val="right" w:leader="dot" w:pos="9071"/>
              </w:tabs>
              <w:overflowPunct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 xml:space="preserve">4.1 </w:t>
            </w:r>
            <w:r w:rsidRPr="00817D84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0"/>
                <w:u w:val="single"/>
                <w:lang w:eastAsia="ru-RU"/>
              </w:rPr>
              <w:t>х</w:t>
            </w: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>арактеристики</w:t>
            </w:r>
            <w:r w:rsidRPr="00817D84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eastAsia="ru-RU"/>
              </w:rPr>
              <w:t>. 2</w:t>
            </w:r>
          </w:p>
          <w:p w:rsidR="00817D84" w:rsidRPr="00817D84" w:rsidRDefault="00817D84" w:rsidP="00817D84">
            <w:pPr>
              <w:tabs>
                <w:tab w:val="right" w:leader="dot" w:pos="9071"/>
              </w:tabs>
              <w:overflowPunct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 xml:space="preserve">4.2 </w:t>
            </w:r>
            <w:r w:rsidRPr="00817D84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0"/>
                <w:u w:val="single"/>
                <w:lang w:eastAsia="ru-RU"/>
              </w:rPr>
              <w:t>т</w:t>
            </w: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>ребования к материалам</w:t>
            </w:r>
            <w:r w:rsidRPr="00817D84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eastAsia="ru-RU"/>
              </w:rPr>
              <w:t>.. 4</w:t>
            </w:r>
          </w:p>
          <w:p w:rsidR="00817D84" w:rsidRPr="00817D84" w:rsidRDefault="00817D84" w:rsidP="00817D84">
            <w:pPr>
              <w:tabs>
                <w:tab w:val="right" w:leader="dot" w:pos="9071"/>
              </w:tabs>
              <w:overflowPunct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 xml:space="preserve">4.3 </w:t>
            </w:r>
            <w:r w:rsidRPr="00817D84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0"/>
                <w:u w:val="single"/>
                <w:lang w:eastAsia="ru-RU"/>
              </w:rPr>
              <w:t>м</w:t>
            </w: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>аркировка и упаковка</w:t>
            </w:r>
            <w:r w:rsidRPr="00817D84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eastAsia="ru-RU"/>
              </w:rPr>
              <w:t>. 4</w:t>
            </w:r>
          </w:p>
          <w:p w:rsidR="00817D84" w:rsidRPr="00817D84" w:rsidRDefault="00817D84" w:rsidP="00817D84">
            <w:pPr>
              <w:tabs>
                <w:tab w:val="right" w:leader="dot" w:pos="9071"/>
              </w:tabs>
              <w:overflowPunct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 xml:space="preserve">5 </w:t>
            </w:r>
            <w:r w:rsidRPr="00817D84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0"/>
                <w:u w:val="single"/>
                <w:lang w:eastAsia="ru-RU"/>
              </w:rPr>
              <w:t>п</w:t>
            </w: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>равила приемки</w:t>
            </w:r>
            <w:r w:rsidRPr="00817D84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eastAsia="ru-RU"/>
              </w:rPr>
              <w:t>. 4</w:t>
            </w:r>
          </w:p>
          <w:p w:rsidR="00817D84" w:rsidRPr="00817D84" w:rsidRDefault="00817D84" w:rsidP="00817D84">
            <w:pPr>
              <w:tabs>
                <w:tab w:val="right" w:leader="dot" w:pos="9071"/>
              </w:tabs>
              <w:overflowPunct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 xml:space="preserve">6 </w:t>
            </w:r>
            <w:r w:rsidRPr="00817D84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0"/>
                <w:u w:val="single"/>
                <w:lang w:eastAsia="ru-RU"/>
              </w:rPr>
              <w:t>м</w:t>
            </w: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>етоды контроля</w:t>
            </w:r>
            <w:r w:rsidRPr="00817D84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eastAsia="ru-RU"/>
              </w:rPr>
              <w:t>. 5</w:t>
            </w:r>
          </w:p>
          <w:p w:rsidR="00817D84" w:rsidRPr="00817D84" w:rsidRDefault="00817D84" w:rsidP="00817D84">
            <w:pPr>
              <w:tabs>
                <w:tab w:val="right" w:leader="dot" w:pos="9071"/>
              </w:tabs>
              <w:overflowPunct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 xml:space="preserve">7 </w:t>
            </w:r>
            <w:r w:rsidRPr="00817D84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0"/>
                <w:u w:val="single"/>
                <w:lang w:eastAsia="ru-RU"/>
              </w:rPr>
              <w:t>т</w:t>
            </w: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>ранспортирование и хранение</w:t>
            </w:r>
            <w:r w:rsidRPr="00817D84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eastAsia="ru-RU"/>
              </w:rPr>
              <w:t>. 5</w:t>
            </w:r>
          </w:p>
          <w:p w:rsidR="00817D84" w:rsidRPr="00817D84" w:rsidRDefault="00817D84" w:rsidP="00817D84">
            <w:pPr>
              <w:tabs>
                <w:tab w:val="right" w:leader="dot" w:pos="9071"/>
              </w:tabs>
              <w:overflowPunct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 xml:space="preserve">8 </w:t>
            </w:r>
            <w:r w:rsidRPr="00817D84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0"/>
                <w:u w:val="single"/>
                <w:lang w:eastAsia="ru-RU"/>
              </w:rPr>
              <w:t>у</w:t>
            </w: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>казания по применению</w:t>
            </w:r>
            <w:r w:rsidRPr="00817D84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eastAsia="ru-RU"/>
              </w:rPr>
              <w:t>.. 5</w:t>
            </w:r>
          </w:p>
          <w:p w:rsidR="00817D84" w:rsidRPr="00817D84" w:rsidRDefault="00817D84" w:rsidP="00817D84">
            <w:pPr>
              <w:tabs>
                <w:tab w:val="right" w:leader="dot" w:pos="9071"/>
              </w:tabs>
              <w:overflowPunct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 xml:space="preserve">9 </w:t>
            </w:r>
            <w:r w:rsidRPr="00817D84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0"/>
                <w:u w:val="single"/>
                <w:lang w:eastAsia="ru-RU"/>
              </w:rPr>
              <w:t>г</w:t>
            </w: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>арантии изготовителя</w:t>
            </w:r>
            <w:r w:rsidRPr="00817D84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eastAsia="ru-RU"/>
              </w:rPr>
              <w:t>. 6</w:t>
            </w:r>
          </w:p>
          <w:p w:rsidR="00817D84" w:rsidRPr="00817D84" w:rsidRDefault="00817D84" w:rsidP="00817D84">
            <w:pPr>
              <w:tabs>
                <w:tab w:val="right" w:leader="dot" w:pos="9071"/>
              </w:tabs>
              <w:overflowPunct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7D8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0"/>
                <w:u w:val="single"/>
                <w:lang w:eastAsia="ru-RU"/>
              </w:rPr>
              <w:t>Приложение</w:t>
            </w:r>
            <w:r w:rsidRPr="00817D84"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0"/>
                <w:u w:val="single"/>
                <w:lang w:eastAsia="ru-RU"/>
              </w:rPr>
              <w:t>а</w:t>
            </w:r>
            <w:r w:rsidRPr="00817D8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0"/>
                <w:u w:val="single"/>
                <w:lang w:eastAsia="ru-RU"/>
              </w:rPr>
              <w:t xml:space="preserve"> П</w:t>
            </w:r>
            <w:r w:rsidRPr="00817D84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t>еречень стандартов, на которые даны ссылки в настоящем стандарте</w:t>
            </w:r>
          </w:p>
        </w:tc>
      </w:tr>
    </w:tbl>
    <w:p w:rsidR="00F83F4D" w:rsidRDefault="00F83F4D"/>
    <w:sectPr w:rsidR="00F83F4D" w:rsidSect="00A454D2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7D84"/>
    <w:rsid w:val="00817D84"/>
    <w:rsid w:val="00A454D2"/>
    <w:rsid w:val="00AB3F28"/>
    <w:rsid w:val="00E534A7"/>
    <w:rsid w:val="00F8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28"/>
  </w:style>
  <w:style w:type="paragraph" w:styleId="1">
    <w:name w:val="heading 1"/>
    <w:basedOn w:val="a"/>
    <w:next w:val="a"/>
    <w:link w:val="10"/>
    <w:uiPriority w:val="9"/>
    <w:qFormat/>
    <w:rsid w:val="00817D84"/>
    <w:pPr>
      <w:widowControl w:val="0"/>
      <w:overflowPunct w:val="0"/>
      <w:adjustRightInd w:val="0"/>
      <w:spacing w:before="120" w:after="12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iCs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7D84"/>
    <w:pPr>
      <w:widowControl w:val="0"/>
      <w:overflowPunct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D84"/>
    <w:rPr>
      <w:rFonts w:ascii="Times New Roman" w:eastAsia="Times New Roman" w:hAnsi="Times New Roman" w:cs="Times New Roman"/>
      <w:b/>
      <w:iC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D84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7D8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817D84"/>
    <w:pPr>
      <w:tabs>
        <w:tab w:val="right" w:leader="dot" w:pos="6280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817D84"/>
    <w:pPr>
      <w:tabs>
        <w:tab w:val="right" w:leader="dot" w:pos="6280"/>
      </w:tabs>
      <w:overflowPunct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17D84"/>
    <w:pPr>
      <w:tabs>
        <w:tab w:val="right" w:leader="dot" w:pos="6280"/>
      </w:tabs>
      <w:overflowPunct w:val="0"/>
      <w:adjustRightInd w:val="0"/>
      <w:spacing w:after="0" w:line="240" w:lineRule="auto"/>
      <w:ind w:left="403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7D84"/>
    <w:pPr>
      <w:widowControl w:val="0"/>
      <w:overflowPunct w:val="0"/>
      <w:adjustRightInd w:val="0"/>
      <w:spacing w:before="120" w:after="12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iCs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7D84"/>
    <w:pPr>
      <w:widowControl w:val="0"/>
      <w:overflowPunct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D84"/>
    <w:rPr>
      <w:rFonts w:ascii="Times New Roman" w:eastAsia="Times New Roman" w:hAnsi="Times New Roman" w:cs="Times New Roman"/>
      <w:b/>
      <w:iC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D84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7D8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817D84"/>
    <w:pPr>
      <w:tabs>
        <w:tab w:val="right" w:leader="dot" w:pos="6280"/>
      </w:tabs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817D84"/>
    <w:pPr>
      <w:tabs>
        <w:tab w:val="right" w:leader="dot" w:pos="6280"/>
      </w:tabs>
      <w:overflowPunct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17D84"/>
    <w:pPr>
      <w:tabs>
        <w:tab w:val="right" w:leader="dot" w:pos="6280"/>
      </w:tabs>
      <w:overflowPunct w:val="0"/>
      <w:adjustRightInd w:val="0"/>
      <w:spacing w:after="0" w:line="240" w:lineRule="auto"/>
      <w:ind w:left="403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514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93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307901871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1786</Words>
  <Characters>10185</Characters>
  <Application>Microsoft Office Word</Application>
  <DocSecurity>0</DocSecurity>
  <Lines>84</Lines>
  <Paragraphs>23</Paragraphs>
  <ScaleCrop>false</ScaleCrop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DONIYOR</dc:creator>
  <cp:lastModifiedBy>User</cp:lastModifiedBy>
  <cp:revision>3</cp:revision>
  <cp:lastPrinted>2016-03-25T06:11:00Z</cp:lastPrinted>
  <dcterms:created xsi:type="dcterms:W3CDTF">2016-03-25T10:51:00Z</dcterms:created>
  <dcterms:modified xsi:type="dcterms:W3CDTF">2017-11-20T09:27:00Z</dcterms:modified>
</cp:coreProperties>
</file>